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29128A" w14:textId="77777777" w:rsidR="0087441D" w:rsidRP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  <w:b/>
          <w:bCs/>
          <w:sz w:val="24"/>
          <w:szCs w:val="24"/>
          <w:lang w:val="en-US"/>
        </w:rPr>
      </w:pPr>
      <w:r w:rsidRPr="0087441D">
        <w:rPr>
          <w:rFonts w:asciiTheme="minorBidi" w:hAnsiTheme="minorBidi"/>
          <w:b/>
          <w:bCs/>
          <w:sz w:val="24"/>
          <w:szCs w:val="24"/>
          <w:lang w:val="en-US"/>
        </w:rPr>
        <w:t>Overview of grapevine yellows in the world</w:t>
      </w:r>
    </w:p>
    <w:p w14:paraId="527B2583" w14:textId="77777777" w:rsid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  <w:lang w:val="en-US"/>
        </w:rPr>
      </w:pPr>
    </w:p>
    <w:p w14:paraId="4432A424" w14:textId="32D28D15" w:rsidR="0087441D" w:rsidRP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</w:rPr>
      </w:pPr>
      <w:r w:rsidRPr="0087441D">
        <w:rPr>
          <w:rFonts w:asciiTheme="minorBidi" w:hAnsiTheme="minorBidi"/>
        </w:rPr>
        <w:t>Assunta Bertaccini</w:t>
      </w:r>
      <w:r w:rsidRPr="0087441D">
        <w:rPr>
          <w:rFonts w:asciiTheme="minorBidi" w:hAnsiTheme="minorBidi"/>
          <w:vertAlign w:val="superscript"/>
        </w:rPr>
        <w:t>1</w:t>
      </w:r>
      <w:r w:rsidRPr="0087441D">
        <w:rPr>
          <w:rFonts w:asciiTheme="minorBidi" w:hAnsiTheme="minorBidi"/>
        </w:rPr>
        <w:t>, Nicola Fiore</w:t>
      </w:r>
      <w:r w:rsidRPr="0087441D">
        <w:rPr>
          <w:rFonts w:asciiTheme="minorBidi" w:hAnsiTheme="minorBidi"/>
          <w:vertAlign w:val="superscript"/>
        </w:rPr>
        <w:t>2</w:t>
      </w:r>
      <w:r w:rsidRPr="0087441D">
        <w:rPr>
          <w:rFonts w:asciiTheme="minorBidi" w:hAnsiTheme="minorBidi"/>
        </w:rPr>
        <w:t>, Johan Burger</w:t>
      </w:r>
      <w:r w:rsidRPr="0087441D">
        <w:rPr>
          <w:rFonts w:asciiTheme="minorBidi" w:hAnsiTheme="minorBidi"/>
          <w:vertAlign w:val="superscript"/>
        </w:rPr>
        <w:t>3</w:t>
      </w:r>
      <w:r w:rsidRPr="0087441D">
        <w:rPr>
          <w:rFonts w:asciiTheme="minorBidi" w:hAnsiTheme="minorBidi"/>
        </w:rPr>
        <w:t xml:space="preserve"> and Marina Dermastia</w:t>
      </w:r>
      <w:r w:rsidRPr="0087441D">
        <w:rPr>
          <w:rFonts w:asciiTheme="minorBidi" w:hAnsiTheme="minorBidi"/>
          <w:vertAlign w:val="superscript"/>
        </w:rPr>
        <w:t>4</w:t>
      </w:r>
    </w:p>
    <w:p w14:paraId="703D3A27" w14:textId="77777777" w:rsidR="0087441D" w:rsidRP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</w:rPr>
      </w:pPr>
    </w:p>
    <w:p w14:paraId="2A81D93C" w14:textId="23274111" w:rsidR="0087441D" w:rsidRPr="0087441D" w:rsidRDefault="007C4BDC" w:rsidP="001F15FB">
      <w:pPr>
        <w:spacing w:after="0" w:line="240" w:lineRule="auto"/>
        <w:contextualSpacing/>
        <w:jc w:val="both"/>
        <w:rPr>
          <w:rFonts w:asciiTheme="minorBidi" w:hAnsiTheme="minorBidi"/>
          <w:sz w:val="20"/>
          <w:szCs w:val="20"/>
          <w:lang w:val="en-US"/>
        </w:rPr>
      </w:pPr>
      <w:r w:rsidRPr="0087441D">
        <w:rPr>
          <w:rFonts w:asciiTheme="minorBidi" w:hAnsiTheme="minorBidi"/>
          <w:sz w:val="20"/>
          <w:szCs w:val="20"/>
          <w:vertAlign w:val="superscript"/>
          <w:lang w:val="en-US"/>
        </w:rPr>
        <w:t>1</w:t>
      </w:r>
      <w:r w:rsidR="0087441D" w:rsidRPr="0087441D">
        <w:rPr>
          <w:rFonts w:asciiTheme="minorBidi" w:hAnsiTheme="minorBidi"/>
          <w:i/>
          <w:iCs/>
          <w:sz w:val="20"/>
          <w:szCs w:val="20"/>
          <w:lang w:val="en-US"/>
        </w:rPr>
        <w:t>Alma Mater Studiorum</w:t>
      </w:r>
      <w:r w:rsidR="0087441D" w:rsidRPr="0087441D">
        <w:rPr>
          <w:rFonts w:asciiTheme="minorBidi" w:hAnsiTheme="minorBidi"/>
          <w:sz w:val="20"/>
          <w:szCs w:val="20"/>
          <w:lang w:val="en-US"/>
        </w:rPr>
        <w:t xml:space="preserve"> – University of Bologna, Department of Agricultural and Food Sciences, Bologna, Italy</w:t>
      </w:r>
    </w:p>
    <w:p w14:paraId="5277A9B7" w14:textId="49F6444D" w:rsidR="0087441D" w:rsidRP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  <w:sz w:val="20"/>
          <w:szCs w:val="20"/>
          <w:lang w:val="en-US"/>
        </w:rPr>
      </w:pPr>
      <w:r w:rsidRPr="0087441D">
        <w:rPr>
          <w:rFonts w:asciiTheme="minorBidi" w:hAnsiTheme="minorBidi"/>
          <w:sz w:val="20"/>
          <w:szCs w:val="20"/>
          <w:vertAlign w:val="superscript"/>
          <w:lang w:val="en-US"/>
        </w:rPr>
        <w:t>2</w:t>
      </w:r>
      <w:r w:rsidRPr="0087441D">
        <w:rPr>
          <w:rFonts w:asciiTheme="minorBidi" w:hAnsiTheme="minorBidi"/>
          <w:sz w:val="20"/>
          <w:szCs w:val="20"/>
          <w:lang w:val="en-US"/>
        </w:rPr>
        <w:t xml:space="preserve">Departamento de </w:t>
      </w:r>
      <w:proofErr w:type="spellStart"/>
      <w:r w:rsidRPr="0087441D">
        <w:rPr>
          <w:rFonts w:asciiTheme="minorBidi" w:hAnsiTheme="minorBidi"/>
          <w:sz w:val="20"/>
          <w:szCs w:val="20"/>
          <w:lang w:val="en-US"/>
        </w:rPr>
        <w:t>Sanidad</w:t>
      </w:r>
      <w:proofErr w:type="spellEnd"/>
      <w:r w:rsidRPr="0087441D">
        <w:rPr>
          <w:rFonts w:asciiTheme="minorBidi" w:hAnsiTheme="minorBidi"/>
          <w:sz w:val="20"/>
          <w:szCs w:val="20"/>
          <w:lang w:val="en-US"/>
        </w:rPr>
        <w:t xml:space="preserve"> Vegetal, </w:t>
      </w:r>
      <w:proofErr w:type="spellStart"/>
      <w:r w:rsidRPr="0087441D">
        <w:rPr>
          <w:rFonts w:asciiTheme="minorBidi" w:hAnsiTheme="minorBidi"/>
          <w:sz w:val="20"/>
          <w:szCs w:val="20"/>
          <w:lang w:val="en-US"/>
        </w:rPr>
        <w:t>Facultad</w:t>
      </w:r>
      <w:proofErr w:type="spellEnd"/>
      <w:r w:rsidRPr="0087441D">
        <w:rPr>
          <w:rFonts w:asciiTheme="minorBidi" w:hAnsiTheme="minorBidi"/>
          <w:sz w:val="20"/>
          <w:szCs w:val="20"/>
          <w:lang w:val="en-US"/>
        </w:rPr>
        <w:t xml:space="preserve"> de </w:t>
      </w:r>
      <w:proofErr w:type="spellStart"/>
      <w:r w:rsidRPr="0087441D">
        <w:rPr>
          <w:rFonts w:asciiTheme="minorBidi" w:hAnsiTheme="minorBidi"/>
          <w:sz w:val="20"/>
          <w:szCs w:val="20"/>
          <w:lang w:val="en-US"/>
        </w:rPr>
        <w:t>Ciencias</w:t>
      </w:r>
      <w:proofErr w:type="spellEnd"/>
      <w:r w:rsidRPr="0087441D">
        <w:rPr>
          <w:rFonts w:asciiTheme="minorBidi" w:hAnsiTheme="minorBidi"/>
          <w:sz w:val="20"/>
          <w:szCs w:val="20"/>
          <w:lang w:val="en-US"/>
        </w:rPr>
        <w:t xml:space="preserve"> </w:t>
      </w:r>
      <w:proofErr w:type="spellStart"/>
      <w:r w:rsidRPr="0087441D">
        <w:rPr>
          <w:rFonts w:asciiTheme="minorBidi" w:hAnsiTheme="minorBidi"/>
          <w:sz w:val="20"/>
          <w:szCs w:val="20"/>
          <w:lang w:val="en-US"/>
        </w:rPr>
        <w:t>Agronómicas</w:t>
      </w:r>
      <w:proofErr w:type="spellEnd"/>
      <w:r w:rsidRPr="0087441D">
        <w:rPr>
          <w:rFonts w:asciiTheme="minorBidi" w:hAnsiTheme="minorBidi"/>
          <w:sz w:val="20"/>
          <w:szCs w:val="20"/>
          <w:lang w:val="en-US"/>
        </w:rPr>
        <w:t>, Universi</w:t>
      </w:r>
      <w:r w:rsidR="00672A92">
        <w:rPr>
          <w:rFonts w:asciiTheme="minorBidi" w:hAnsiTheme="minorBidi"/>
          <w:sz w:val="20"/>
          <w:szCs w:val="20"/>
          <w:lang w:val="en-US"/>
        </w:rPr>
        <w:t>dad de</w:t>
      </w:r>
      <w:r w:rsidRPr="0087441D">
        <w:rPr>
          <w:rFonts w:asciiTheme="minorBidi" w:hAnsiTheme="minorBidi"/>
          <w:sz w:val="20"/>
          <w:szCs w:val="20"/>
          <w:lang w:val="en-US"/>
        </w:rPr>
        <w:t xml:space="preserve"> Chile, Santiago, Chile</w:t>
      </w:r>
    </w:p>
    <w:p w14:paraId="53B69FEE" w14:textId="77777777" w:rsidR="0087441D" w:rsidRP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  <w:sz w:val="20"/>
          <w:szCs w:val="20"/>
          <w:lang w:val="en-US"/>
        </w:rPr>
      </w:pPr>
      <w:r w:rsidRPr="0087441D">
        <w:rPr>
          <w:rFonts w:asciiTheme="minorBidi" w:hAnsiTheme="minorBidi"/>
          <w:sz w:val="20"/>
          <w:szCs w:val="20"/>
          <w:vertAlign w:val="superscript"/>
          <w:lang w:val="en-US"/>
        </w:rPr>
        <w:t>3</w:t>
      </w:r>
      <w:r w:rsidRPr="0087441D">
        <w:rPr>
          <w:rFonts w:asciiTheme="minorBidi" w:hAnsiTheme="minorBidi"/>
          <w:sz w:val="20"/>
          <w:szCs w:val="20"/>
          <w:lang w:val="en-US"/>
        </w:rPr>
        <w:t>Department of Genetics, Stellenbosch University, Stellenbosch, South Africa</w:t>
      </w:r>
    </w:p>
    <w:p w14:paraId="20224E1F" w14:textId="77777777" w:rsidR="0087441D" w:rsidRP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  <w:sz w:val="20"/>
          <w:szCs w:val="20"/>
          <w:lang w:val="en-US"/>
        </w:rPr>
      </w:pPr>
      <w:r w:rsidRPr="0087441D">
        <w:rPr>
          <w:rFonts w:asciiTheme="minorBidi" w:hAnsiTheme="minorBidi"/>
          <w:sz w:val="20"/>
          <w:szCs w:val="20"/>
          <w:vertAlign w:val="superscript"/>
          <w:lang w:val="en-US"/>
        </w:rPr>
        <w:t>4</w:t>
      </w:r>
      <w:r w:rsidRPr="0087441D">
        <w:rPr>
          <w:rFonts w:asciiTheme="minorBidi" w:hAnsiTheme="minorBidi"/>
          <w:sz w:val="20"/>
          <w:szCs w:val="20"/>
          <w:lang w:val="en-US"/>
        </w:rPr>
        <w:t>National Institute of Biology, Ljubljana, Slovenia</w:t>
      </w:r>
    </w:p>
    <w:p w14:paraId="4B244A8E" w14:textId="77777777" w:rsid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  <w:lang w:val="en-US"/>
        </w:rPr>
      </w:pPr>
    </w:p>
    <w:p w14:paraId="06A324BC" w14:textId="20A760E7" w:rsidR="0087441D" w:rsidRPr="0087441D" w:rsidRDefault="0087441D" w:rsidP="001F15FB">
      <w:pPr>
        <w:spacing w:after="0" w:line="240" w:lineRule="auto"/>
        <w:contextualSpacing/>
        <w:jc w:val="both"/>
        <w:rPr>
          <w:rFonts w:asciiTheme="minorBidi" w:hAnsiTheme="minorBidi"/>
          <w:lang w:val="en-US"/>
        </w:rPr>
      </w:pPr>
      <w:r w:rsidRPr="0087441D">
        <w:rPr>
          <w:rFonts w:asciiTheme="minorBidi" w:hAnsiTheme="minorBidi"/>
          <w:lang w:val="en-US"/>
        </w:rPr>
        <w:t>Grapevine yellows disease is reported in all major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grapevine-growing regions of the world, where it has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been associated with a number of molecularly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differentiable phytoplasmas that are associated with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 xml:space="preserve">the same symptoms (Dermastia </w:t>
      </w:r>
      <w:r w:rsidRPr="0087441D">
        <w:rPr>
          <w:rFonts w:asciiTheme="minorBidi" w:hAnsiTheme="minorBidi"/>
          <w:i/>
          <w:iCs/>
          <w:lang w:val="en-US"/>
        </w:rPr>
        <w:t>et al</w:t>
      </w:r>
      <w:r w:rsidRPr="0087441D">
        <w:rPr>
          <w:rFonts w:asciiTheme="minorBidi" w:hAnsiTheme="minorBidi"/>
          <w:lang w:val="en-US"/>
        </w:rPr>
        <w:t>., 2017). The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identification of the phytoplasmas in a symptomatic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grapevine is therefore not possible by visual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observation, but only by laboratory-based diagnostic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methods. A total of 12 ‘</w:t>
      </w:r>
      <w:r w:rsidRPr="0087441D">
        <w:rPr>
          <w:rFonts w:asciiTheme="minorBidi" w:hAnsiTheme="minorBidi"/>
          <w:i/>
          <w:iCs/>
          <w:lang w:val="en-US"/>
        </w:rPr>
        <w:t>Candidatus</w:t>
      </w:r>
      <w:r w:rsidRPr="0087441D">
        <w:rPr>
          <w:rFonts w:asciiTheme="minorBidi" w:hAnsiTheme="minorBidi"/>
          <w:lang w:val="en-US"/>
        </w:rPr>
        <w:t xml:space="preserve"> Phytoplasma’ species,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enclosed in 17 ribosomal subgroups are reported as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associated with grapevine yellows worldwide. The main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studied diseases in Europe are “bois noir”, associated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with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 solani’ and “flavescence dorée”, associated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with 16SrV-C and -D phytoplasmas presence</w:t>
      </w:r>
      <w:r w:rsidR="00672A92">
        <w:rPr>
          <w:rFonts w:asciiTheme="minorBidi" w:hAnsiTheme="minorBidi"/>
          <w:lang w:val="en-US"/>
        </w:rPr>
        <w:t xml:space="preserve"> (Martini </w:t>
      </w:r>
      <w:r w:rsidR="00672A92" w:rsidRPr="00672A92">
        <w:rPr>
          <w:rFonts w:asciiTheme="minorBidi" w:hAnsiTheme="minorBidi"/>
          <w:i/>
          <w:iCs/>
          <w:lang w:val="en-US"/>
        </w:rPr>
        <w:t>et al</w:t>
      </w:r>
      <w:r w:rsidR="00672A92">
        <w:rPr>
          <w:rFonts w:asciiTheme="minorBidi" w:hAnsiTheme="minorBidi"/>
          <w:lang w:val="en-US"/>
        </w:rPr>
        <w:t>., 1999)</w:t>
      </w:r>
      <w:r w:rsidRPr="0087441D">
        <w:rPr>
          <w:rFonts w:asciiTheme="minorBidi" w:hAnsiTheme="minorBidi"/>
          <w:lang w:val="en-US"/>
        </w:rPr>
        <w:t>. Their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 xml:space="preserve">main insect vectors are </w:t>
      </w:r>
      <w:proofErr w:type="spellStart"/>
      <w:r w:rsidRPr="0087441D">
        <w:rPr>
          <w:rFonts w:asciiTheme="minorBidi" w:hAnsiTheme="minorBidi"/>
          <w:i/>
          <w:iCs/>
          <w:lang w:val="en-US"/>
        </w:rPr>
        <w:t>Hyalesthes</w:t>
      </w:r>
      <w:proofErr w:type="spellEnd"/>
      <w:r w:rsidRPr="0087441D">
        <w:rPr>
          <w:rFonts w:asciiTheme="minorBidi" w:hAnsiTheme="minorBidi"/>
          <w:i/>
          <w:iCs/>
          <w:lang w:val="en-US"/>
        </w:rPr>
        <w:t xml:space="preserve"> </w:t>
      </w:r>
      <w:proofErr w:type="spellStart"/>
      <w:r w:rsidRPr="0087441D">
        <w:rPr>
          <w:rFonts w:asciiTheme="minorBidi" w:hAnsiTheme="minorBidi"/>
          <w:i/>
          <w:iCs/>
          <w:lang w:val="en-US"/>
        </w:rPr>
        <w:t>obsoletus</w:t>
      </w:r>
      <w:proofErr w:type="spellEnd"/>
      <w:r w:rsidRPr="0087441D">
        <w:rPr>
          <w:rFonts w:asciiTheme="minorBidi" w:hAnsiTheme="minorBidi"/>
          <w:lang w:val="en-US"/>
        </w:rPr>
        <w:t xml:space="preserve"> and</w:t>
      </w:r>
      <w:r>
        <w:rPr>
          <w:rFonts w:asciiTheme="minorBidi" w:hAnsiTheme="minorBidi"/>
          <w:lang w:val="en-US"/>
        </w:rPr>
        <w:t xml:space="preserve"> </w:t>
      </w:r>
      <w:proofErr w:type="spellStart"/>
      <w:r w:rsidRPr="0087441D">
        <w:rPr>
          <w:rFonts w:asciiTheme="minorBidi" w:hAnsiTheme="minorBidi"/>
          <w:i/>
          <w:iCs/>
          <w:lang w:val="en-US"/>
        </w:rPr>
        <w:t>Scaphoideus</w:t>
      </w:r>
      <w:proofErr w:type="spellEnd"/>
      <w:r w:rsidRPr="0087441D">
        <w:rPr>
          <w:rFonts w:asciiTheme="minorBidi" w:hAnsiTheme="minorBidi"/>
          <w:i/>
          <w:iCs/>
          <w:lang w:val="en-US"/>
        </w:rPr>
        <w:t xml:space="preserve"> </w:t>
      </w:r>
      <w:proofErr w:type="spellStart"/>
      <w:r w:rsidRPr="0087441D">
        <w:rPr>
          <w:rFonts w:asciiTheme="minorBidi" w:hAnsiTheme="minorBidi"/>
          <w:i/>
          <w:iCs/>
          <w:lang w:val="en-US"/>
        </w:rPr>
        <w:t>titanus</w:t>
      </w:r>
      <w:proofErr w:type="spellEnd"/>
      <w:r w:rsidRPr="0087441D">
        <w:rPr>
          <w:rFonts w:asciiTheme="minorBidi" w:hAnsiTheme="minorBidi"/>
          <w:lang w:val="en-US"/>
        </w:rPr>
        <w:t>, respectively. Moreover</w:t>
      </w:r>
      <w:r>
        <w:rPr>
          <w:rFonts w:asciiTheme="minorBidi" w:hAnsiTheme="minorBidi"/>
          <w:lang w:val="en-US"/>
        </w:rPr>
        <w:t>,</w:t>
      </w:r>
      <w:r w:rsidRPr="0087441D">
        <w:rPr>
          <w:rFonts w:asciiTheme="minorBidi" w:hAnsiTheme="minorBidi"/>
          <w:lang w:val="en-US"/>
        </w:rPr>
        <w:t xml:space="preserve"> in the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“flavescence dorée” 16SrV-C strains several insect vectors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and host plants were identified, while the 16SrV-D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 xml:space="preserve">strains seem restricted to grapevine and </w:t>
      </w:r>
      <w:r w:rsidRPr="0087441D">
        <w:rPr>
          <w:rFonts w:asciiTheme="minorBidi" w:hAnsiTheme="minorBidi"/>
          <w:i/>
          <w:iCs/>
          <w:lang w:val="en-US"/>
        </w:rPr>
        <w:t xml:space="preserve">S. </w:t>
      </w:r>
      <w:proofErr w:type="spellStart"/>
      <w:r w:rsidRPr="0087441D">
        <w:rPr>
          <w:rFonts w:asciiTheme="minorBidi" w:hAnsiTheme="minorBidi"/>
          <w:i/>
          <w:iCs/>
          <w:lang w:val="en-US"/>
        </w:rPr>
        <w:t>titanus</w:t>
      </w:r>
      <w:proofErr w:type="spellEnd"/>
      <w:r w:rsidRPr="0087441D">
        <w:rPr>
          <w:rFonts w:asciiTheme="minorBidi" w:hAnsiTheme="minorBidi"/>
          <w:lang w:val="en-US"/>
        </w:rPr>
        <w:t>. The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 solani’ strains infecting grapevine appears to be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endemic and nonhost specific, however in some cases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severe</w:t>
      </w:r>
      <w:bookmarkStart w:id="0" w:name="_GoBack"/>
      <w:bookmarkEnd w:id="0"/>
      <w:r w:rsidRPr="0087441D">
        <w:rPr>
          <w:rFonts w:asciiTheme="minorBidi" w:hAnsiTheme="minorBidi"/>
          <w:lang w:val="en-US"/>
        </w:rPr>
        <w:t xml:space="preserve"> epidemic </w:t>
      </w:r>
      <w:proofErr w:type="spellStart"/>
      <w:r w:rsidRPr="0087441D">
        <w:rPr>
          <w:rFonts w:asciiTheme="minorBidi" w:hAnsiTheme="minorBidi"/>
          <w:lang w:val="en-US"/>
        </w:rPr>
        <w:t>behaviours</w:t>
      </w:r>
      <w:proofErr w:type="spellEnd"/>
      <w:r w:rsidRPr="0087441D">
        <w:rPr>
          <w:rFonts w:asciiTheme="minorBidi" w:hAnsiTheme="minorBidi"/>
          <w:lang w:val="en-US"/>
        </w:rPr>
        <w:t xml:space="preserve"> appeared. In the North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America and Asia the phytoplasmas infecting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grapevine are mainly strains of ‘Ca. P. pruni’ (16SrIII-I)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(USA) and of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 solani’,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 xml:space="preserve">. P. </w:t>
      </w:r>
      <w:proofErr w:type="spellStart"/>
      <w:r w:rsidRPr="0087441D">
        <w:rPr>
          <w:rFonts w:asciiTheme="minorBidi" w:hAnsiTheme="minorBidi"/>
          <w:lang w:val="en-US"/>
        </w:rPr>
        <w:t>phoenicium</w:t>
      </w:r>
      <w:proofErr w:type="spellEnd"/>
      <w:r w:rsidRPr="0087441D">
        <w:rPr>
          <w:rFonts w:asciiTheme="minorBidi" w:hAnsiTheme="minorBidi"/>
          <w:lang w:val="en-US"/>
        </w:rPr>
        <w:t>’,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fraxini’ and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 aurantifolia’ (Middle East including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Iran). These phytoplasmas were not studied at the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epidemiological level therefore the management of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grapevine yellows in these areas is still difficult and not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focused. In the Southern hemisphere the main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phytoplasmas associated with grapevine yellows are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P. australasia’ and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 australiense’ in Australia,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asteris’ in South Africa and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>. P. pruni’ (16SrIII-J) in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Chile. The surveys performed during the project showed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 xml:space="preserve">different </w:t>
      </w:r>
      <w:proofErr w:type="spellStart"/>
      <w:r w:rsidRPr="0087441D">
        <w:rPr>
          <w:rFonts w:asciiTheme="minorBidi" w:hAnsiTheme="minorBidi"/>
          <w:lang w:val="en-US"/>
        </w:rPr>
        <w:t>behaviours</w:t>
      </w:r>
      <w:proofErr w:type="spellEnd"/>
      <w:r w:rsidRPr="0087441D">
        <w:rPr>
          <w:rFonts w:asciiTheme="minorBidi" w:hAnsiTheme="minorBidi"/>
          <w:lang w:val="en-US"/>
        </w:rPr>
        <w:t xml:space="preserve"> of these diseases such as the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presence of a recovery situation in the South African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vineyards linked to a severe drought that occurred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during the latter part of 2016 until 2018. In Chilean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vineyards the main phytoplasmas detected in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grapevine are those that are resulting endemic in the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country (16SrIII-J), with still some areas showing the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presence of ‘</w:t>
      </w:r>
      <w:r w:rsidRPr="0087441D">
        <w:rPr>
          <w:rFonts w:asciiTheme="minorBidi" w:hAnsiTheme="minorBidi"/>
          <w:i/>
          <w:iCs/>
          <w:lang w:val="en-US"/>
        </w:rPr>
        <w:t>Ca</w:t>
      </w:r>
      <w:r w:rsidRPr="0087441D">
        <w:rPr>
          <w:rFonts w:asciiTheme="minorBidi" w:hAnsiTheme="minorBidi"/>
          <w:lang w:val="en-US"/>
        </w:rPr>
        <w:t xml:space="preserve">. P. fraxini’ </w:t>
      </w:r>
      <w:r>
        <w:rPr>
          <w:rFonts w:asciiTheme="minorBidi" w:hAnsiTheme="minorBidi"/>
          <w:lang w:val="en-US"/>
        </w:rPr>
        <w:t>r</w:t>
      </w:r>
      <w:r w:rsidRPr="0087441D">
        <w:rPr>
          <w:rFonts w:asciiTheme="minorBidi" w:hAnsiTheme="minorBidi"/>
          <w:lang w:val="en-US"/>
        </w:rPr>
        <w:t>eported at the beginning of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this century. In both countries the project allows to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identify insect vectors and alternative host plants,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>therefore the epidemiological cycles allow to propose</w:t>
      </w:r>
      <w:r>
        <w:rPr>
          <w:rFonts w:asciiTheme="minorBidi" w:hAnsiTheme="minorBidi"/>
          <w:lang w:val="en-US"/>
        </w:rPr>
        <w:t xml:space="preserve"> </w:t>
      </w:r>
      <w:r w:rsidRPr="0087441D">
        <w:rPr>
          <w:rFonts w:asciiTheme="minorBidi" w:hAnsiTheme="minorBidi"/>
          <w:lang w:val="en-US"/>
        </w:rPr>
        <w:t xml:space="preserve">focused and targeted management strategies. </w:t>
      </w:r>
    </w:p>
    <w:p w14:paraId="2EE7C825" w14:textId="77777777" w:rsidR="00672A92" w:rsidRDefault="00672A92" w:rsidP="001F15FB">
      <w:pPr>
        <w:spacing w:after="0" w:line="240" w:lineRule="auto"/>
        <w:contextualSpacing/>
        <w:jc w:val="both"/>
        <w:rPr>
          <w:rFonts w:asciiTheme="minorBidi" w:hAnsiTheme="minorBidi"/>
          <w:lang w:val="en-US"/>
        </w:rPr>
      </w:pPr>
    </w:p>
    <w:p w14:paraId="3BC4FF63" w14:textId="351A16F0" w:rsidR="0087441D" w:rsidRPr="00672A92" w:rsidRDefault="00672A92" w:rsidP="001F15FB">
      <w:pPr>
        <w:spacing w:after="0" w:line="240" w:lineRule="auto"/>
        <w:contextualSpacing/>
        <w:jc w:val="both"/>
        <w:rPr>
          <w:rFonts w:asciiTheme="minorBidi" w:hAnsiTheme="minorBidi"/>
          <w:b/>
          <w:bCs/>
          <w:sz w:val="20"/>
          <w:szCs w:val="20"/>
          <w:lang w:val="en-US"/>
        </w:rPr>
      </w:pPr>
      <w:r w:rsidRPr="00672A92">
        <w:rPr>
          <w:rFonts w:asciiTheme="minorBidi" w:hAnsiTheme="minorBidi"/>
          <w:b/>
          <w:bCs/>
          <w:sz w:val="20"/>
          <w:szCs w:val="20"/>
          <w:lang w:val="en-US"/>
        </w:rPr>
        <w:t>Literature cited</w:t>
      </w:r>
    </w:p>
    <w:p w14:paraId="5CA938BE" w14:textId="77777777" w:rsidR="00672A92" w:rsidRDefault="00672A92" w:rsidP="001F15FB">
      <w:pPr>
        <w:spacing w:after="0" w:line="240" w:lineRule="auto"/>
        <w:contextualSpacing/>
        <w:jc w:val="both"/>
        <w:rPr>
          <w:rFonts w:asciiTheme="minorBidi" w:hAnsiTheme="minorBidi"/>
          <w:sz w:val="20"/>
          <w:szCs w:val="20"/>
          <w:lang w:val="en-US"/>
        </w:rPr>
      </w:pPr>
    </w:p>
    <w:p w14:paraId="36E0559B" w14:textId="7799A704" w:rsidR="007C4BDC" w:rsidRPr="00780B9E" w:rsidRDefault="0087441D" w:rsidP="001F15FB">
      <w:pPr>
        <w:spacing w:after="0" w:line="240" w:lineRule="auto"/>
        <w:ind w:left="567" w:hanging="567"/>
        <w:contextualSpacing/>
        <w:jc w:val="both"/>
        <w:rPr>
          <w:rFonts w:asciiTheme="minorBidi" w:hAnsiTheme="minorBidi"/>
          <w:spacing w:val="-2"/>
          <w:sz w:val="20"/>
          <w:szCs w:val="20"/>
          <w:lang w:val="en-US"/>
        </w:rPr>
      </w:pPr>
      <w:r w:rsidRPr="00780B9E">
        <w:rPr>
          <w:rFonts w:asciiTheme="minorBidi" w:hAnsiTheme="minorBidi"/>
          <w:spacing w:val="-2"/>
          <w:sz w:val="20"/>
          <w:szCs w:val="20"/>
          <w:lang w:val="en-US"/>
        </w:rPr>
        <w:t>Dermastia M, Bertaccini A, Constable F and Mehle N 2017.Grapevine yellows diseases and their phytoplasma agents-Biology and detection. Springer International Publishing,</w:t>
      </w:r>
      <w:r w:rsidR="00672A92" w:rsidRPr="00780B9E">
        <w:rPr>
          <w:rFonts w:asciiTheme="minorBidi" w:hAnsiTheme="minorBidi"/>
          <w:spacing w:val="-2"/>
          <w:sz w:val="20"/>
          <w:szCs w:val="20"/>
          <w:lang w:val="en-US"/>
        </w:rPr>
        <w:t xml:space="preserve"> </w:t>
      </w:r>
      <w:r w:rsidRPr="00780B9E">
        <w:rPr>
          <w:rFonts w:asciiTheme="minorBidi" w:hAnsiTheme="minorBidi"/>
          <w:spacing w:val="-2"/>
          <w:sz w:val="20"/>
          <w:szCs w:val="20"/>
          <w:lang w:val="en-US"/>
        </w:rPr>
        <w:t>Switzerland, 99 pp.</w:t>
      </w:r>
    </w:p>
    <w:p w14:paraId="053B04D2" w14:textId="31B7599B" w:rsidR="00672A92" w:rsidRPr="00672A92" w:rsidRDefault="00672A92" w:rsidP="001F15FB">
      <w:pPr>
        <w:spacing w:after="0" w:line="240" w:lineRule="auto"/>
        <w:ind w:left="567" w:hanging="567"/>
        <w:contextualSpacing/>
        <w:jc w:val="both"/>
        <w:rPr>
          <w:rFonts w:asciiTheme="minorBidi" w:hAnsiTheme="minorBidi"/>
          <w:sz w:val="20"/>
          <w:szCs w:val="20"/>
          <w:lang w:val="en-US"/>
        </w:rPr>
      </w:pPr>
      <w:r w:rsidRPr="00646ABF">
        <w:rPr>
          <w:rFonts w:asciiTheme="minorBidi" w:hAnsiTheme="minorBidi"/>
          <w:sz w:val="20"/>
          <w:szCs w:val="20"/>
          <w:lang w:val="en-US"/>
        </w:rPr>
        <w:t xml:space="preserve">Martini M, Murari E, Mori N and Bertaccini A1999. </w:t>
      </w:r>
      <w:r w:rsidRPr="00672A92">
        <w:rPr>
          <w:rFonts w:asciiTheme="minorBidi" w:hAnsiTheme="minorBidi"/>
          <w:sz w:val="20"/>
          <w:szCs w:val="20"/>
          <w:lang w:val="en-US"/>
        </w:rPr>
        <w:t xml:space="preserve">Identification and epidemic distribution of two “flavescence dorée”-related phytoplasmas in Veneto (Italy). </w:t>
      </w:r>
      <w:r w:rsidRPr="00672A92">
        <w:rPr>
          <w:rFonts w:asciiTheme="minorBidi" w:hAnsiTheme="minorBidi"/>
          <w:i/>
          <w:iCs/>
          <w:sz w:val="20"/>
          <w:szCs w:val="20"/>
          <w:lang w:val="en-US"/>
        </w:rPr>
        <w:t>Plant Disease</w:t>
      </w:r>
      <w:r w:rsidRPr="00672A92">
        <w:rPr>
          <w:rFonts w:asciiTheme="minorBidi" w:hAnsiTheme="minorBidi"/>
          <w:sz w:val="20"/>
          <w:szCs w:val="20"/>
          <w:lang w:val="en-US"/>
        </w:rPr>
        <w:t>, 83: 925-930.</w:t>
      </w:r>
    </w:p>
    <w:p w14:paraId="7C9687C4" w14:textId="77777777" w:rsidR="00672A92" w:rsidRDefault="00672A92" w:rsidP="001F15FB">
      <w:pPr>
        <w:spacing w:after="0" w:line="240" w:lineRule="auto"/>
        <w:contextualSpacing/>
        <w:jc w:val="both"/>
        <w:rPr>
          <w:rFonts w:asciiTheme="minorBidi" w:hAnsiTheme="minorBidi"/>
          <w:lang w:val="en-US"/>
        </w:rPr>
      </w:pPr>
    </w:p>
    <w:p w14:paraId="337741A4" w14:textId="011E045A" w:rsidR="00672A92" w:rsidRDefault="00672A92" w:rsidP="001F15FB">
      <w:pPr>
        <w:spacing w:after="0" w:line="240" w:lineRule="auto"/>
        <w:contextualSpacing/>
        <w:jc w:val="both"/>
        <w:rPr>
          <w:rFonts w:asciiTheme="minorBidi" w:hAnsiTheme="minorBidi"/>
          <w:b/>
          <w:bCs/>
          <w:sz w:val="20"/>
          <w:szCs w:val="20"/>
          <w:lang w:val="en-US"/>
        </w:rPr>
      </w:pPr>
      <w:r w:rsidRPr="00672A92">
        <w:rPr>
          <w:rFonts w:asciiTheme="minorBidi" w:hAnsiTheme="minorBidi"/>
          <w:b/>
          <w:bCs/>
          <w:sz w:val="20"/>
          <w:szCs w:val="20"/>
          <w:lang w:val="en-US"/>
        </w:rPr>
        <w:t>Acknowledgements</w:t>
      </w:r>
    </w:p>
    <w:p w14:paraId="6ED51C5A" w14:textId="5A3936E7" w:rsidR="00672A92" w:rsidRDefault="00672A92" w:rsidP="001F15FB">
      <w:pPr>
        <w:spacing w:after="0" w:line="240" w:lineRule="auto"/>
        <w:contextualSpacing/>
        <w:jc w:val="both"/>
        <w:rPr>
          <w:rFonts w:asciiTheme="minorBidi" w:hAnsiTheme="minorBidi"/>
          <w:sz w:val="20"/>
          <w:szCs w:val="20"/>
          <w:lang w:val="en-US"/>
        </w:rPr>
      </w:pPr>
      <w:r w:rsidRPr="00672A92">
        <w:rPr>
          <w:rFonts w:asciiTheme="minorBidi" w:hAnsiTheme="minorBidi"/>
          <w:sz w:val="20"/>
          <w:szCs w:val="20"/>
          <w:lang w:val="en-US"/>
        </w:rPr>
        <w:t>Lorem ipsum, lorem ipsum lorem ipsum</w:t>
      </w:r>
    </w:p>
    <w:sectPr w:rsidR="00672A92" w:rsidSect="0087441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761"/>
    <w:rsid w:val="001F15FB"/>
    <w:rsid w:val="003025A8"/>
    <w:rsid w:val="003D659E"/>
    <w:rsid w:val="004B6A76"/>
    <w:rsid w:val="004D2301"/>
    <w:rsid w:val="004F0EE7"/>
    <w:rsid w:val="00646ABF"/>
    <w:rsid w:val="00672A92"/>
    <w:rsid w:val="00780B9E"/>
    <w:rsid w:val="007C4BDC"/>
    <w:rsid w:val="007D49FF"/>
    <w:rsid w:val="00822417"/>
    <w:rsid w:val="0087441D"/>
    <w:rsid w:val="00A068ED"/>
    <w:rsid w:val="00A3717E"/>
    <w:rsid w:val="00AA5335"/>
    <w:rsid w:val="00AC48DC"/>
    <w:rsid w:val="00D812F9"/>
    <w:rsid w:val="00E96B51"/>
    <w:rsid w:val="00EB3CCE"/>
    <w:rsid w:val="00F9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8F88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lementtoproof">
    <w:name w:val="elementtoproof"/>
    <w:basedOn w:val="Normale"/>
    <w:rsid w:val="00822417"/>
    <w:pPr>
      <w:spacing w:after="0" w:line="240" w:lineRule="auto"/>
    </w:pPr>
    <w:rPr>
      <w:rFonts w:ascii="Calibri" w:hAnsi="Calibri" w:cs="Calibri"/>
      <w:kern w:val="0"/>
      <w:lang w:eastAsia="it-IT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elementtoproof">
    <w:name w:val="elementtoproof"/>
    <w:basedOn w:val="Normale"/>
    <w:rsid w:val="00822417"/>
    <w:pPr>
      <w:spacing w:after="0" w:line="240" w:lineRule="auto"/>
    </w:pPr>
    <w:rPr>
      <w:rFonts w:ascii="Calibri" w:hAnsi="Calibri" w:cs="Calibri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9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2023-11-10T07:28:00Z</dcterms:created>
  <dcterms:modified xsi:type="dcterms:W3CDTF">2023-11-11T11:36:00Z</dcterms:modified>
</cp:coreProperties>
</file>